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pl-PL"/>
        </w:rPr>
        <w:t>Wykaz podręczników obowiązujących w Szkole Podstawowej Nr 1 w Koninie w roku szkolnym 2022/2023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pl-PL"/>
        </w:rPr>
        <w:t>Klasy I</w:t>
      </w:r>
    </w:p>
    <w:tbl>
      <w:tblPr>
        <w:tblW w:w="161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27"/>
        <w:gridCol w:w="2977"/>
        <w:gridCol w:w="3685"/>
        <w:gridCol w:w="2267"/>
        <w:gridCol w:w="2693"/>
        <w:gridCol w:w="1677"/>
      </w:tblGrid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Nazwa zajęć edukacyjnych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Wydawnictwo, rok wydania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3378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333333"/>
                <w:sz w:val="24"/>
                <w:szCs w:val="24"/>
                <w:lang w:eastAsia="pl-PL"/>
              </w:rPr>
              <w:t>Barbara Stępień,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333333"/>
                <w:sz w:val="24"/>
                <w:szCs w:val="24"/>
                <w:lang w:eastAsia="pl-PL"/>
              </w:rPr>
              <w:t>Ewa Hryszkiewicz,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333333"/>
                <w:sz w:val="24"/>
                <w:szCs w:val="24"/>
                <w:lang w:eastAsia="pl-PL"/>
              </w:rPr>
              <w:t>Joanna Winiecka-Nowak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jc w:val="left"/>
              <w:outlineLvl w:val="0"/>
              <w:rPr>
                <w:rFonts w:ascii="Times New Roman" w:hAnsi="Times New Roman" w:eastAsia="" w:cs="Times New Roman" w:eastAsiaTheme="minorEastAsia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color w:val="333333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jc w:val="left"/>
              <w:outlineLvl w:val="0"/>
              <w:rPr>
                <w:rFonts w:ascii="Times New Roman" w:hAnsi="Times New Roman" w:eastAsia="" w:cs="Times New Roman" w:eastAsiaTheme="minorEastAsia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color w:val="333333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jc w:val="left"/>
              <w:outlineLvl w:val="0"/>
              <w:rPr>
                <w:rFonts w:ascii="Times New Roman" w:hAnsi="Times New Roman" w:eastAsia="" w:cs="Times New Roman" w:eastAsiaTheme="minorEastAsia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color w:val="333333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333333"/>
                <w:sz w:val="24"/>
                <w:szCs w:val="24"/>
                <w:lang w:eastAsia="pl-PL"/>
              </w:rPr>
              <w:t>Krystyna Bielenica, Maria Bura, Małgorzata Kwil, Bogusława Lankiewicz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jc w:val="left"/>
              <w:outlineLvl w:val="0"/>
              <w:rPr>
                <w:rFonts w:ascii="Times New Roman" w:hAnsi="Times New Roman" w:eastAsia="" w:cs="Times New Roman"/>
                <w:b/>
                <w:b/>
                <w:bCs/>
                <w:color w:val="1A1A1A"/>
                <w:kern w:val="2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color w:val="1A1A1A"/>
                <w:kern w:val="2"/>
                <w:sz w:val="24"/>
                <w:szCs w:val="24"/>
                <w:lang w:eastAsia="pl-PL"/>
              </w:rPr>
              <w:t>Elementarz odkrywców. Podręcznik. Klasa 1. Semestr 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jc w:val="left"/>
              <w:outlineLvl w:val="0"/>
              <w:rPr>
                <w:rFonts w:ascii="Times New Roman" w:hAnsi="Times New Roman" w:eastAsia="" w:cs="Times New Roman"/>
                <w:b/>
                <w:b/>
                <w:bCs/>
                <w:color w:val="1A1A1A"/>
                <w:kern w:val="2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color w:val="1A1A1A"/>
                <w:kern w:val="2"/>
                <w:sz w:val="24"/>
                <w:szCs w:val="24"/>
                <w:lang w:eastAsia="pl-PL"/>
              </w:rPr>
              <w:t>Edukacja polonistyczna, społeczna i przyrodnicza. Części 1, 2. Edukacja matematyczna. Część 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jc w:val="left"/>
              <w:outlineLvl w:val="0"/>
              <w:rPr>
                <w:rFonts w:ascii="Times New Roman" w:hAnsi="Times New Roman" w:eastAsia="" w:cs="Times New Roman" w:eastAsiaTheme="minorEastAsia"/>
                <w:bCs/>
                <w:color w:val="1A1A1A"/>
                <w:kern w:val="2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color w:val="1A1A1A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1A1A1A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A1A1A"/>
                <w:kern w:val="2"/>
                <w:sz w:val="24"/>
                <w:szCs w:val="24"/>
                <w:lang w:eastAsia="pl-PL"/>
              </w:rPr>
              <w:t>Elementarz odkrywców. Podręcznik. Klasa 1. Semestr 2.  Edukacja polonistyczna, społeczna i przyrodnicza.  Części 3, 4. Edukacja matematyczna. Część 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/>
                <w:color w:val="333333"/>
                <w:sz w:val="24"/>
                <w:szCs w:val="24"/>
                <w:shd w:fill="F7F7F7" w:val="clear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333333"/>
                <w:sz w:val="24"/>
                <w:szCs w:val="24"/>
                <w:shd w:fill="F7F7F7" w:val="clear"/>
                <w:lang w:eastAsia="pl-PL"/>
              </w:rPr>
              <w:t>790/1/2017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color w:val="333333"/>
                <w:sz w:val="24"/>
                <w:szCs w:val="24"/>
                <w:shd w:fill="F7F7F7" w:val="clear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color w:val="333333"/>
                <w:sz w:val="24"/>
                <w:szCs w:val="24"/>
                <w:shd w:fill="F7F7F7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color w:val="333333"/>
                <w:sz w:val="24"/>
                <w:szCs w:val="24"/>
                <w:shd w:fill="F7F7F7" w:val="clear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color w:val="333333"/>
                <w:sz w:val="24"/>
                <w:szCs w:val="24"/>
                <w:shd w:fill="F7F7F7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color w:val="333333"/>
                <w:sz w:val="24"/>
                <w:szCs w:val="24"/>
                <w:shd w:fill="F7F7F7" w:val="clear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color w:val="333333"/>
                <w:sz w:val="24"/>
                <w:szCs w:val="24"/>
                <w:shd w:fill="F7F7F7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color w:val="333333"/>
                <w:sz w:val="24"/>
                <w:szCs w:val="24"/>
                <w:shd w:fill="F7F7F7" w:val="clear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color w:val="333333"/>
                <w:sz w:val="24"/>
                <w:szCs w:val="24"/>
                <w:shd w:fill="F7F7F7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/>
                <w:color w:val="333333"/>
                <w:sz w:val="24"/>
                <w:szCs w:val="24"/>
                <w:shd w:fill="F7F7F7" w:val="clear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333333"/>
                <w:sz w:val="24"/>
                <w:szCs w:val="24"/>
                <w:shd w:fill="F7F7F7" w:val="clear"/>
                <w:lang w:eastAsia="pl-PL"/>
              </w:rPr>
              <w:t>790/2/2017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 w:eastAsiaTheme="minorEastAsia"/>
                <w:color w:val="333333"/>
                <w:sz w:val="24"/>
                <w:szCs w:val="24"/>
                <w:shd w:fill="F7F7F7" w:val="clear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color w:val="333333"/>
                <w:sz w:val="24"/>
                <w:szCs w:val="24"/>
                <w:shd w:fill="F7F7F7" w:val="clear"/>
                <w:lang w:eastAsia="pl-P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Nowa Era sp. z o.o.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2017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Nowa Era</w:t>
            </w:r>
          </w:p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Dotacja celowa.</w:t>
            </w:r>
          </w:p>
        </w:tc>
      </w:tr>
      <w:tr>
        <w:trPr>
          <w:trHeight w:val="135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Tessa Lochowski,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Cristiana Bruni,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Konsultacja: Mariola Bogucka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val="en-US"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en-US" w:eastAsia="pl-PL"/>
              </w:rPr>
              <w:t>New English Adventure 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Podręcznik. Poziom1.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podręcznik + zeszyt ćwiczeń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819/1/2017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Pearson Central Europe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Dotacja celowa.</w:t>
            </w:r>
          </w:p>
        </w:tc>
      </w:tr>
      <w:tr>
        <w:trPr>
          <w:trHeight w:val="135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pl-PL"/>
              </w:rPr>
              <w:t>Religia</w:t>
            </w:r>
          </w:p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  <w:lang w:eastAsia="pl-PL"/>
              </w:rPr>
              <w:t>Red. K. Mielnicki,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  <w:lang w:eastAsia="pl-PL"/>
              </w:rPr>
              <w:t>E. Kondrak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„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Poznaję Boży świat”-podręcznik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AZ-11-01/18-KI-4/20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Wydawnictwo Jedność Kielce 2020</w:t>
            </w:r>
          </w:p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left"/>
              <w:rPr>
                <w:rFonts w:ascii="Times New Roman" w:hAnsi="Times New Roman" w:eastAsia="" w:cs="Times New Roman"/>
                <w:sz w:val="24"/>
                <w:szCs w:val="24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pl-PL"/>
              </w:rPr>
              <w:t>Brak dotacji celowej.</w:t>
            </w:r>
          </w:p>
        </w:tc>
      </w:tr>
    </w:tbl>
    <w:p>
      <w:pPr>
        <w:pStyle w:val="Normal"/>
        <w:rPr>
          <w:rFonts w:eastAsia="" w:eastAsiaTheme="minorEastAsia"/>
          <w:lang w:eastAsia="pl-PL"/>
        </w:rPr>
      </w:pPr>
      <w:r>
        <w:rPr>
          <w:rFonts w:eastAsia="" w:eastAsiaTheme="minorEastAsia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LibreOffice/7.1.2.2$Windows_X86_64 LibreOffice_project/8a45595d069ef5570103caea1b71cc9d82b2aae4</Application>
  <AppVersion>15.0000</AppVersion>
  <Pages>2</Pages>
  <Words>136</Words>
  <Characters>927</Characters>
  <CharactersWithSpaces>1025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2022-06-10T10:44:00Z</dcterms:created>
  <dc:creator>Nauczyciel</dc:creator>
  <dc:description/>
  <dc:language>pl-PL</dc:language>
  <cp:lastModifiedBy/>
  <dcterms:modified xsi:type="dcterms:W3CDTF">2022-06-28T13:45:27Z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